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C1" w:rsidRDefault="00066EBA" w:rsidP="00066EBA">
      <w:pPr>
        <w:jc w:val="center"/>
        <w:rPr>
          <w:sz w:val="36"/>
          <w:szCs w:val="36"/>
          <w:u w:val="single"/>
        </w:rPr>
      </w:pPr>
      <w:r w:rsidRPr="00066EBA">
        <w:rPr>
          <w:sz w:val="36"/>
          <w:szCs w:val="36"/>
          <w:u w:val="single"/>
        </w:rPr>
        <w:t>JACOPO ZABARELLA</w:t>
      </w:r>
    </w:p>
    <w:p w:rsidR="00066EBA" w:rsidRDefault="00066EBA" w:rsidP="00066EBA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066EBA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Jacopo Zabarella</w:t>
      </w:r>
      <w:r w:rsidRPr="00066EB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spesso indicato come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066EBA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Giacomo Zabarella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066EB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(</w:t>
      </w:r>
      <w:hyperlink r:id="rId4" w:tooltip="Padova" w:history="1">
        <w:r w:rsidRPr="00066EBA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Padova</w:t>
        </w:r>
      </w:hyperlink>
      <w:r w:rsidRPr="00066EB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5" w:tooltip="5 settembre" w:history="1">
        <w:r w:rsidRPr="00066EBA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5 settembre</w:t>
        </w:r>
      </w:hyperlink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6" w:tooltip="1533" w:history="1">
        <w:r w:rsidRPr="00066EBA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1533</w:t>
        </w:r>
      </w:hyperlink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066EB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–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7" w:tooltip="Padova" w:history="1">
        <w:r w:rsidRPr="00066EBA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Padova</w:t>
        </w:r>
      </w:hyperlink>
      <w:r w:rsidRPr="00066EB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8" w:tooltip="15 ottobre" w:history="1">
        <w:r w:rsidRPr="00066EBA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15 ottobre</w:t>
        </w:r>
      </w:hyperlink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9" w:tooltip="1589" w:history="1">
        <w:r w:rsidRPr="00066EBA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1589</w:t>
        </w:r>
      </w:hyperlink>
      <w:r w:rsidRPr="00066EB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), è stato un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10" w:tooltip="Filosofo" w:history="1">
        <w:r w:rsidRPr="00066EBA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filosofo</w:t>
        </w:r>
      </w:hyperlink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11" w:tooltip="Italia" w:history="1">
        <w:r w:rsidRPr="00066EBA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italiano</w:t>
        </w:r>
      </w:hyperlink>
      <w:r w:rsidRPr="00066EB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. </w:t>
      </w:r>
      <w:r w:rsidRPr="00066EBA">
        <w:rPr>
          <w:rFonts w:ascii="Arial" w:hAnsi="Arial" w:cs="Arial"/>
          <w:color w:val="000000" w:themeColor="text1"/>
          <w:sz w:val="21"/>
          <w:szCs w:val="21"/>
        </w:rPr>
        <w:t>Primogenito di un’antica e nobile famiglia, ereditò dal padre Giulio il titolo di conte palatino. Studiò all'</w:t>
      </w:r>
      <w:hyperlink r:id="rId12" w:tooltip="Università di Padova" w:history="1">
        <w:r w:rsidRPr="00066EBA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  <w:u w:val="none"/>
          </w:rPr>
          <w:t>Università di Padova</w:t>
        </w:r>
      </w:hyperlink>
      <w:r w:rsidRPr="00066EBA">
        <w:rPr>
          <w:rFonts w:ascii="Arial" w:hAnsi="Arial" w:cs="Arial"/>
          <w:color w:val="000000" w:themeColor="text1"/>
          <w:sz w:val="21"/>
          <w:szCs w:val="21"/>
        </w:rPr>
        <w:t xml:space="preserve">, dove fu allievo di Francesco </w:t>
      </w:r>
      <w:proofErr w:type="spellStart"/>
      <w:r w:rsidRPr="00066EBA">
        <w:rPr>
          <w:rFonts w:ascii="Arial" w:hAnsi="Arial" w:cs="Arial"/>
          <w:color w:val="000000" w:themeColor="text1"/>
          <w:sz w:val="21"/>
          <w:szCs w:val="21"/>
        </w:rPr>
        <w:t>Robortello</w:t>
      </w:r>
      <w:proofErr w:type="spellEnd"/>
      <w:r w:rsidRPr="00066EBA">
        <w:rPr>
          <w:rFonts w:ascii="Arial" w:hAnsi="Arial" w:cs="Arial"/>
          <w:color w:val="000000" w:themeColor="text1"/>
          <w:sz w:val="21"/>
          <w:szCs w:val="21"/>
        </w:rPr>
        <w:t>,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13" w:tooltip="Bernardino Tomitano" w:history="1">
        <w:r w:rsidRPr="00066EBA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  <w:u w:val="none"/>
          </w:rPr>
          <w:t xml:space="preserve">Bernardino </w:t>
        </w:r>
        <w:proofErr w:type="spellStart"/>
        <w:r w:rsidRPr="00066EBA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  <w:u w:val="none"/>
          </w:rPr>
          <w:t>Tomitano</w:t>
        </w:r>
        <w:proofErr w:type="spellEnd"/>
      </w:hyperlink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066EBA">
        <w:rPr>
          <w:rFonts w:ascii="Arial" w:hAnsi="Arial" w:cs="Arial"/>
          <w:color w:val="000000" w:themeColor="text1"/>
          <w:sz w:val="21"/>
          <w:szCs w:val="21"/>
        </w:rPr>
        <w:t>e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14" w:tooltip="Marcantonio de’ Passeri" w:history="1">
        <w:r w:rsidRPr="00066EBA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  <w:u w:val="none"/>
          </w:rPr>
          <w:t>Marcantonio de’ Passeri</w:t>
        </w:r>
      </w:hyperlink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066EBA">
        <w:rPr>
          <w:rFonts w:ascii="Arial" w:hAnsi="Arial" w:cs="Arial"/>
          <w:color w:val="000000" w:themeColor="text1"/>
          <w:sz w:val="21"/>
          <w:szCs w:val="21"/>
        </w:rPr>
        <w:t>(detto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066EB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il </w:t>
      </w:r>
      <w:proofErr w:type="spellStart"/>
      <w:r w:rsidRPr="00066EBA">
        <w:rPr>
          <w:rFonts w:ascii="Arial" w:hAnsi="Arial" w:cs="Arial"/>
          <w:i/>
          <w:iCs/>
          <w:color w:val="000000" w:themeColor="text1"/>
          <w:sz w:val="21"/>
          <w:szCs w:val="21"/>
        </w:rPr>
        <w:t>Genua</w:t>
      </w:r>
      <w:proofErr w:type="spellEnd"/>
      <w:r w:rsidRPr="00066EBA">
        <w:rPr>
          <w:rFonts w:ascii="Arial" w:hAnsi="Arial" w:cs="Arial"/>
          <w:color w:val="000000" w:themeColor="text1"/>
          <w:sz w:val="21"/>
          <w:szCs w:val="21"/>
        </w:rPr>
        <w:t>), laureandosi nel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15" w:tooltip="1553" w:history="1">
        <w:r w:rsidRPr="00066EBA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  <w:u w:val="none"/>
          </w:rPr>
          <w:t>1553</w:t>
        </w:r>
      </w:hyperlink>
      <w:r w:rsidRPr="00066EBA">
        <w:rPr>
          <w:rFonts w:ascii="Arial" w:hAnsi="Arial" w:cs="Arial"/>
          <w:color w:val="000000" w:themeColor="text1"/>
          <w:sz w:val="21"/>
          <w:szCs w:val="21"/>
        </w:rPr>
        <w:t xml:space="preserve">.   Per l'anno accademico 1563-64 ottenne, succedendo al </w:t>
      </w:r>
      <w:proofErr w:type="spellStart"/>
      <w:r w:rsidRPr="00066EBA">
        <w:rPr>
          <w:rFonts w:ascii="Arial" w:hAnsi="Arial" w:cs="Arial"/>
          <w:color w:val="000000" w:themeColor="text1"/>
          <w:sz w:val="21"/>
          <w:szCs w:val="21"/>
        </w:rPr>
        <w:t>Tomitano</w:t>
      </w:r>
      <w:proofErr w:type="spellEnd"/>
      <w:r w:rsidRPr="00066EBA">
        <w:rPr>
          <w:rFonts w:ascii="Arial" w:hAnsi="Arial" w:cs="Arial"/>
          <w:color w:val="000000" w:themeColor="text1"/>
          <w:sz w:val="21"/>
          <w:szCs w:val="21"/>
        </w:rPr>
        <w:t>, la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066EB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prima </w:t>
      </w:r>
      <w:proofErr w:type="spellStart"/>
      <w:r w:rsidRPr="00066EBA">
        <w:rPr>
          <w:rFonts w:ascii="Arial" w:hAnsi="Arial" w:cs="Arial"/>
          <w:i/>
          <w:iCs/>
          <w:color w:val="000000" w:themeColor="text1"/>
          <w:sz w:val="21"/>
          <w:szCs w:val="21"/>
        </w:rPr>
        <w:t>cattedra</w:t>
      </w:r>
      <w:r w:rsidRPr="00066EBA">
        <w:rPr>
          <w:rFonts w:ascii="Arial" w:hAnsi="Arial" w:cs="Arial"/>
          <w:color w:val="000000" w:themeColor="text1"/>
          <w:sz w:val="21"/>
          <w:szCs w:val="21"/>
        </w:rPr>
        <w:t>di</w:t>
      </w:r>
      <w:proofErr w:type="spellEnd"/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16" w:tooltip="Logica" w:history="1">
        <w:r w:rsidRPr="00066EBA">
          <w:rPr>
            <w:rStyle w:val="Collegamentoipertestuale"/>
            <w:rFonts w:ascii="Arial" w:hAnsi="Arial" w:cs="Arial"/>
            <w:i/>
            <w:iCs/>
            <w:color w:val="000000" w:themeColor="text1"/>
            <w:sz w:val="21"/>
            <w:szCs w:val="21"/>
            <w:u w:val="none"/>
          </w:rPr>
          <w:t>logica</w:t>
        </w:r>
      </w:hyperlink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066EBA">
        <w:rPr>
          <w:rFonts w:ascii="Arial" w:hAnsi="Arial" w:cs="Arial"/>
          <w:color w:val="000000" w:themeColor="text1"/>
          <w:sz w:val="21"/>
          <w:szCs w:val="21"/>
        </w:rPr>
        <w:t>nello Studio padovano, che tenne fino all'anno accademico 1567-68 incluso. Per l'anno accademico 1568-69 ottenne la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066EBA">
        <w:rPr>
          <w:rFonts w:ascii="Arial" w:hAnsi="Arial" w:cs="Arial"/>
          <w:i/>
          <w:iCs/>
          <w:color w:val="000000" w:themeColor="text1"/>
          <w:sz w:val="21"/>
          <w:szCs w:val="21"/>
        </w:rPr>
        <w:t>seconda cattedra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066EBA">
        <w:rPr>
          <w:rFonts w:ascii="Arial" w:hAnsi="Arial" w:cs="Arial"/>
          <w:color w:val="000000" w:themeColor="text1"/>
          <w:sz w:val="21"/>
          <w:szCs w:val="21"/>
        </w:rPr>
        <w:t>(ma, propriamente, parificata in quell'anno e nei successivi otto con la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066EBA">
        <w:rPr>
          <w:rFonts w:ascii="Arial" w:hAnsi="Arial" w:cs="Arial"/>
          <w:i/>
          <w:iCs/>
          <w:color w:val="000000" w:themeColor="text1"/>
          <w:sz w:val="21"/>
          <w:szCs w:val="21"/>
        </w:rPr>
        <w:t>prima cattedra</w:t>
      </w:r>
      <w:r w:rsidRPr="00066EBA">
        <w:rPr>
          <w:rFonts w:ascii="Arial" w:hAnsi="Arial" w:cs="Arial"/>
          <w:color w:val="000000" w:themeColor="text1"/>
          <w:sz w:val="21"/>
          <w:szCs w:val="21"/>
        </w:rPr>
        <w:t>) di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17" w:tooltip="Filosofia naturale" w:history="1">
        <w:r w:rsidRPr="00066EBA">
          <w:rPr>
            <w:rStyle w:val="Collegamentoipertestuale"/>
            <w:rFonts w:ascii="Arial" w:hAnsi="Arial" w:cs="Arial"/>
            <w:i/>
            <w:iCs/>
            <w:color w:val="000000" w:themeColor="text1"/>
            <w:sz w:val="21"/>
            <w:szCs w:val="21"/>
            <w:u w:val="none"/>
          </w:rPr>
          <w:t>filosofia naturale</w:t>
        </w:r>
      </w:hyperlink>
      <w:r w:rsidRPr="00066EBA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</w:rPr>
        <w:t> </w:t>
      </w:r>
      <w:r w:rsidRPr="00066EBA">
        <w:rPr>
          <w:rFonts w:ascii="Arial" w:hAnsi="Arial" w:cs="Arial"/>
          <w:i/>
          <w:iCs/>
          <w:color w:val="000000" w:themeColor="text1"/>
          <w:sz w:val="21"/>
          <w:szCs w:val="21"/>
        </w:rPr>
        <w:t>straordinaria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066EBA">
        <w:rPr>
          <w:rFonts w:ascii="Arial" w:hAnsi="Arial" w:cs="Arial"/>
          <w:color w:val="000000" w:themeColor="text1"/>
          <w:sz w:val="21"/>
          <w:szCs w:val="21"/>
        </w:rPr>
        <w:t>e per l'anno accademico 1577-1578 ottenne la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066EBA">
        <w:rPr>
          <w:rFonts w:ascii="Arial" w:hAnsi="Arial" w:cs="Arial"/>
          <w:i/>
          <w:iCs/>
          <w:color w:val="000000" w:themeColor="text1"/>
          <w:sz w:val="21"/>
          <w:szCs w:val="21"/>
        </w:rPr>
        <w:t>prima cattedra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066EBA">
        <w:rPr>
          <w:rFonts w:ascii="Arial" w:hAnsi="Arial" w:cs="Arial"/>
          <w:color w:val="000000" w:themeColor="text1"/>
          <w:sz w:val="21"/>
          <w:szCs w:val="21"/>
        </w:rPr>
        <w:t>di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066EBA">
        <w:rPr>
          <w:rFonts w:ascii="Arial" w:hAnsi="Arial" w:cs="Arial"/>
          <w:i/>
          <w:iCs/>
          <w:color w:val="000000" w:themeColor="text1"/>
          <w:sz w:val="21"/>
          <w:szCs w:val="21"/>
        </w:rPr>
        <w:t>filosofia naturale straordinaria</w:t>
      </w:r>
      <w:r w:rsidRPr="00066EBA">
        <w:rPr>
          <w:rFonts w:ascii="Arial" w:hAnsi="Arial" w:cs="Arial"/>
          <w:color w:val="000000" w:themeColor="text1"/>
          <w:sz w:val="21"/>
          <w:szCs w:val="21"/>
        </w:rPr>
        <w:t>, che tenne fino all'anno accademico 1584-85 incluso. Per l'anno accademico 1585-86 ottenne la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066EBA">
        <w:rPr>
          <w:rFonts w:ascii="Arial" w:hAnsi="Arial" w:cs="Arial"/>
          <w:i/>
          <w:iCs/>
          <w:color w:val="000000" w:themeColor="text1"/>
          <w:sz w:val="21"/>
          <w:szCs w:val="21"/>
        </w:rPr>
        <w:t>seconda cattedra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066EBA">
        <w:rPr>
          <w:rFonts w:ascii="Arial" w:hAnsi="Arial" w:cs="Arial"/>
          <w:color w:val="000000" w:themeColor="text1"/>
          <w:sz w:val="21"/>
          <w:szCs w:val="21"/>
        </w:rPr>
        <w:t>di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066EBA">
        <w:rPr>
          <w:rFonts w:ascii="Arial" w:hAnsi="Arial" w:cs="Arial"/>
          <w:i/>
          <w:iCs/>
          <w:color w:val="000000" w:themeColor="text1"/>
          <w:sz w:val="21"/>
          <w:szCs w:val="21"/>
        </w:rPr>
        <w:t>filosofia naturale ordinaria</w:t>
      </w:r>
      <w:r w:rsidRPr="00066EBA">
        <w:rPr>
          <w:rFonts w:ascii="Arial" w:hAnsi="Arial" w:cs="Arial"/>
          <w:color w:val="000000" w:themeColor="text1"/>
          <w:sz w:val="21"/>
          <w:szCs w:val="21"/>
        </w:rPr>
        <w:t>, che tenne fino al 1589. Declinò l'invito del re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18" w:tooltip="Stefano Báthory" w:history="1">
        <w:r w:rsidRPr="00066EBA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  <w:u w:val="none"/>
          </w:rPr>
          <w:t xml:space="preserve">Stefano </w:t>
        </w:r>
        <w:proofErr w:type="spellStart"/>
        <w:r w:rsidRPr="00066EBA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  <w:u w:val="none"/>
          </w:rPr>
          <w:t>Báthory</w:t>
        </w:r>
        <w:proofErr w:type="spellEnd"/>
      </w:hyperlink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066EBA">
        <w:rPr>
          <w:rFonts w:ascii="Arial" w:hAnsi="Arial" w:cs="Arial"/>
          <w:color w:val="000000" w:themeColor="text1"/>
          <w:sz w:val="21"/>
          <w:szCs w:val="21"/>
        </w:rPr>
        <w:t>di insegnare in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19" w:tooltip="Polonia" w:history="1">
        <w:r w:rsidRPr="00066EBA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  <w:u w:val="none"/>
          </w:rPr>
          <w:t>Polonia</w:t>
        </w:r>
      </w:hyperlink>
      <w:r w:rsidRPr="00066EBA">
        <w:rPr>
          <w:rFonts w:ascii="Arial" w:hAnsi="Arial" w:cs="Arial"/>
          <w:color w:val="000000" w:themeColor="text1"/>
          <w:sz w:val="21"/>
          <w:szCs w:val="21"/>
        </w:rPr>
        <w:t>, ma gli dedicò il suo scritto più importante, l'</w:t>
      </w:r>
      <w:r w:rsidRPr="00066EBA">
        <w:rPr>
          <w:rFonts w:ascii="Arial" w:hAnsi="Arial" w:cs="Arial"/>
          <w:i/>
          <w:iCs/>
          <w:color w:val="000000" w:themeColor="text1"/>
          <w:sz w:val="21"/>
          <w:szCs w:val="21"/>
        </w:rPr>
        <w:t>Opera logica</w:t>
      </w:r>
      <w:r w:rsidRPr="00066EBA">
        <w:rPr>
          <w:rFonts w:ascii="Arial" w:hAnsi="Arial" w:cs="Arial"/>
          <w:color w:val="000000" w:themeColor="text1"/>
          <w:sz w:val="21"/>
          <w:szCs w:val="21"/>
        </w:rPr>
        <w:t>, stampata a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20" w:tooltip="Venezia" w:history="1">
        <w:r w:rsidRPr="00066EBA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  <w:u w:val="none"/>
          </w:rPr>
          <w:t>Venezia</w:t>
        </w:r>
      </w:hyperlink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066EBA">
        <w:rPr>
          <w:rFonts w:ascii="Arial" w:hAnsi="Arial" w:cs="Arial"/>
          <w:color w:val="000000" w:themeColor="text1"/>
          <w:sz w:val="21"/>
          <w:szCs w:val="21"/>
        </w:rPr>
        <w:t>nel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21" w:tooltip="1578" w:history="1">
        <w:r w:rsidRPr="00066EBA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  <w:u w:val="none"/>
          </w:rPr>
          <w:t>1578</w:t>
        </w:r>
      </w:hyperlink>
      <w:r w:rsidRPr="00066EBA">
        <w:rPr>
          <w:rFonts w:ascii="Arial" w:hAnsi="Arial" w:cs="Arial"/>
          <w:color w:val="000000" w:themeColor="text1"/>
          <w:sz w:val="21"/>
          <w:szCs w:val="21"/>
        </w:rPr>
        <w:t>. Nel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22" w:tooltip="1580" w:history="1">
        <w:r w:rsidRPr="00066EBA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  <w:u w:val="none"/>
          </w:rPr>
          <w:t>1580</w:t>
        </w:r>
      </w:hyperlink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066EBA">
        <w:rPr>
          <w:rFonts w:ascii="Arial" w:hAnsi="Arial" w:cs="Arial"/>
          <w:color w:val="000000" w:themeColor="text1"/>
          <w:sz w:val="21"/>
          <w:szCs w:val="21"/>
        </w:rPr>
        <w:t>furono pubblicate a Padova le sue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proofErr w:type="spellStart"/>
      <w:r w:rsidRPr="00066EBA">
        <w:rPr>
          <w:rFonts w:ascii="Arial" w:hAnsi="Arial" w:cs="Arial"/>
          <w:i/>
          <w:iCs/>
          <w:color w:val="000000" w:themeColor="text1"/>
          <w:sz w:val="21"/>
          <w:szCs w:val="21"/>
        </w:rPr>
        <w:t>Tabulae</w:t>
      </w:r>
      <w:proofErr w:type="spellEnd"/>
      <w:r w:rsidRPr="00066EB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066EBA">
        <w:rPr>
          <w:rFonts w:ascii="Arial" w:hAnsi="Arial" w:cs="Arial"/>
          <w:i/>
          <w:iCs/>
          <w:color w:val="000000" w:themeColor="text1"/>
          <w:sz w:val="21"/>
          <w:szCs w:val="21"/>
        </w:rPr>
        <w:t>logicae</w:t>
      </w:r>
      <w:proofErr w:type="spellEnd"/>
      <w:r w:rsidRPr="00066EBA">
        <w:rPr>
          <w:rFonts w:ascii="Arial" w:hAnsi="Arial" w:cs="Arial"/>
          <w:color w:val="000000" w:themeColor="text1"/>
          <w:sz w:val="21"/>
          <w:szCs w:val="21"/>
        </w:rPr>
        <w:t>, e nel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23" w:tooltip="1582" w:history="1">
        <w:r w:rsidRPr="00066EBA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  <w:u w:val="none"/>
          </w:rPr>
          <w:t>1582</w:t>
        </w:r>
      </w:hyperlink>
      <w:r w:rsidRPr="00066EBA">
        <w:rPr>
          <w:rFonts w:ascii="Arial" w:hAnsi="Arial" w:cs="Arial"/>
          <w:color w:val="000000" w:themeColor="text1"/>
          <w:sz w:val="21"/>
          <w:szCs w:val="21"/>
        </w:rPr>
        <w:t>, a Venezia, il suo commento agli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066EBA">
        <w:rPr>
          <w:rFonts w:ascii="Arial" w:hAnsi="Arial" w:cs="Arial"/>
          <w:i/>
          <w:iCs/>
          <w:color w:val="000000" w:themeColor="text1"/>
          <w:sz w:val="21"/>
          <w:szCs w:val="21"/>
        </w:rPr>
        <w:t>Analitici II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proofErr w:type="spellStart"/>
      <w:r w:rsidRPr="00066EBA">
        <w:rPr>
          <w:rFonts w:ascii="Arial" w:hAnsi="Arial" w:cs="Arial"/>
          <w:color w:val="000000" w:themeColor="text1"/>
          <w:sz w:val="21"/>
          <w:szCs w:val="21"/>
        </w:rPr>
        <w:t>di</w:t>
      </w:r>
      <w:hyperlink r:id="rId24" w:tooltip="Aristotele" w:history="1">
        <w:r w:rsidRPr="00066EBA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  <w:u w:val="none"/>
          </w:rPr>
          <w:t>Aristotele</w:t>
        </w:r>
        <w:proofErr w:type="spellEnd"/>
      </w:hyperlink>
      <w:r w:rsidRPr="00066EBA">
        <w:rPr>
          <w:rFonts w:ascii="Arial" w:hAnsi="Arial" w:cs="Arial"/>
          <w:color w:val="000000" w:themeColor="text1"/>
          <w:sz w:val="21"/>
          <w:szCs w:val="21"/>
        </w:rPr>
        <w:t>.In risposta alle critiche mosse alla sua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066EBA">
        <w:rPr>
          <w:rFonts w:ascii="Arial" w:hAnsi="Arial" w:cs="Arial"/>
          <w:i/>
          <w:iCs/>
          <w:color w:val="000000" w:themeColor="text1"/>
          <w:sz w:val="21"/>
          <w:szCs w:val="21"/>
        </w:rPr>
        <w:t>Opera logica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066EBA">
        <w:rPr>
          <w:rFonts w:ascii="Arial" w:hAnsi="Arial" w:cs="Arial"/>
          <w:color w:val="000000" w:themeColor="text1"/>
          <w:sz w:val="21"/>
          <w:szCs w:val="21"/>
        </w:rPr>
        <w:t xml:space="preserve">dai suoi colleghi d'università, Francesco </w:t>
      </w:r>
      <w:proofErr w:type="spellStart"/>
      <w:r w:rsidRPr="00066EBA">
        <w:rPr>
          <w:rFonts w:ascii="Arial" w:hAnsi="Arial" w:cs="Arial"/>
          <w:color w:val="000000" w:themeColor="text1"/>
          <w:sz w:val="21"/>
          <w:szCs w:val="21"/>
        </w:rPr>
        <w:t>Piccolomini</w:t>
      </w:r>
      <w:proofErr w:type="spellEnd"/>
      <w:r w:rsidRPr="00066EBA">
        <w:rPr>
          <w:rFonts w:ascii="Arial" w:hAnsi="Arial" w:cs="Arial"/>
          <w:color w:val="000000" w:themeColor="text1"/>
          <w:sz w:val="21"/>
          <w:szCs w:val="21"/>
        </w:rPr>
        <w:t xml:space="preserve"> e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25" w:tooltip="Bernardino Petrella (la pagina non esiste)" w:history="1">
        <w:r w:rsidRPr="00066EBA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  <w:u w:val="none"/>
          </w:rPr>
          <w:t xml:space="preserve">Bernardino </w:t>
        </w:r>
        <w:proofErr w:type="spellStart"/>
        <w:r w:rsidRPr="00066EBA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  <w:u w:val="none"/>
          </w:rPr>
          <w:t>Petrella</w:t>
        </w:r>
        <w:proofErr w:type="spellEnd"/>
      </w:hyperlink>
      <w:r w:rsidRPr="00066EBA">
        <w:rPr>
          <w:rFonts w:ascii="Arial" w:hAnsi="Arial" w:cs="Arial"/>
          <w:color w:val="000000" w:themeColor="text1"/>
          <w:sz w:val="21"/>
          <w:szCs w:val="21"/>
        </w:rPr>
        <w:t>, pubblicò a Padova, nel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26" w:tooltip="1584" w:history="1">
        <w:r w:rsidRPr="00066EBA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  <w:u w:val="none"/>
          </w:rPr>
          <w:t>1584</w:t>
        </w:r>
      </w:hyperlink>
      <w:r w:rsidRPr="00066EBA">
        <w:rPr>
          <w:rFonts w:ascii="Arial" w:hAnsi="Arial" w:cs="Arial"/>
          <w:color w:val="000000" w:themeColor="text1"/>
          <w:sz w:val="21"/>
          <w:szCs w:val="21"/>
        </w:rPr>
        <w:t>, la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066EB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De </w:t>
      </w:r>
      <w:proofErr w:type="spellStart"/>
      <w:r w:rsidRPr="00066EBA">
        <w:rPr>
          <w:rFonts w:ascii="Arial" w:hAnsi="Arial" w:cs="Arial"/>
          <w:i/>
          <w:iCs/>
          <w:color w:val="000000" w:themeColor="text1"/>
          <w:sz w:val="21"/>
          <w:szCs w:val="21"/>
        </w:rPr>
        <w:t>doctrinae</w:t>
      </w:r>
      <w:proofErr w:type="spellEnd"/>
      <w:r w:rsidRPr="00066EB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ordine apologia</w:t>
      </w:r>
      <w:r w:rsidRPr="00066EBA">
        <w:rPr>
          <w:rFonts w:ascii="Arial" w:hAnsi="Arial" w:cs="Arial"/>
          <w:color w:val="000000" w:themeColor="text1"/>
          <w:sz w:val="21"/>
          <w:szCs w:val="21"/>
        </w:rPr>
        <w:t>. Nel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27" w:tooltip="1586" w:history="1">
        <w:r w:rsidRPr="00066EBA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  <w:u w:val="none"/>
          </w:rPr>
          <w:t>1586</w:t>
        </w:r>
      </w:hyperlink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066EBA">
        <w:rPr>
          <w:rFonts w:ascii="Arial" w:hAnsi="Arial" w:cs="Arial"/>
          <w:color w:val="000000" w:themeColor="text1"/>
          <w:sz w:val="21"/>
          <w:szCs w:val="21"/>
        </w:rPr>
        <w:t>e nel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28" w:tooltip="1590" w:history="1">
        <w:r w:rsidRPr="00066EBA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  <w:u w:val="none"/>
          </w:rPr>
          <w:t>1590</w:t>
        </w:r>
      </w:hyperlink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066EBA">
        <w:rPr>
          <w:rFonts w:ascii="Arial" w:hAnsi="Arial" w:cs="Arial"/>
          <w:color w:val="000000" w:themeColor="text1"/>
          <w:sz w:val="21"/>
          <w:szCs w:val="21"/>
        </w:rPr>
        <w:t>apparvero rispettivamente le sue due ultime opere, la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066EB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De </w:t>
      </w:r>
      <w:proofErr w:type="spellStart"/>
      <w:r w:rsidRPr="00066EBA">
        <w:rPr>
          <w:rFonts w:ascii="Arial" w:hAnsi="Arial" w:cs="Arial"/>
          <w:i/>
          <w:iCs/>
          <w:color w:val="000000" w:themeColor="text1"/>
          <w:sz w:val="21"/>
          <w:szCs w:val="21"/>
        </w:rPr>
        <w:t>naturalis</w:t>
      </w:r>
      <w:proofErr w:type="spellEnd"/>
      <w:r w:rsidRPr="00066EB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066EBA">
        <w:rPr>
          <w:rFonts w:ascii="Arial" w:hAnsi="Arial" w:cs="Arial"/>
          <w:i/>
          <w:iCs/>
          <w:color w:val="000000" w:themeColor="text1"/>
          <w:sz w:val="21"/>
          <w:szCs w:val="21"/>
        </w:rPr>
        <w:t>scientiae</w:t>
      </w:r>
      <w:proofErr w:type="spellEnd"/>
      <w:r w:rsidRPr="00066EB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066EBA">
        <w:rPr>
          <w:rFonts w:ascii="Arial" w:hAnsi="Arial" w:cs="Arial"/>
          <w:i/>
          <w:iCs/>
          <w:color w:val="000000" w:themeColor="text1"/>
          <w:sz w:val="21"/>
          <w:szCs w:val="21"/>
        </w:rPr>
        <w:t>constitutione</w:t>
      </w:r>
      <w:proofErr w:type="spellEnd"/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066EBA">
        <w:rPr>
          <w:rFonts w:ascii="Arial" w:hAnsi="Arial" w:cs="Arial"/>
          <w:color w:val="000000" w:themeColor="text1"/>
          <w:sz w:val="21"/>
          <w:szCs w:val="21"/>
        </w:rPr>
        <w:t>e i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066EB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De rebus </w:t>
      </w:r>
      <w:proofErr w:type="spellStart"/>
      <w:r w:rsidRPr="00066EBA">
        <w:rPr>
          <w:rFonts w:ascii="Arial" w:hAnsi="Arial" w:cs="Arial"/>
          <w:i/>
          <w:iCs/>
          <w:color w:val="000000" w:themeColor="text1"/>
          <w:sz w:val="21"/>
          <w:szCs w:val="21"/>
        </w:rPr>
        <w:t>naturalibus</w:t>
      </w:r>
      <w:proofErr w:type="spellEnd"/>
      <w:r w:rsidRPr="00066EBA">
        <w:rPr>
          <w:rFonts w:ascii="Arial" w:hAnsi="Arial" w:cs="Arial"/>
          <w:color w:val="000000" w:themeColor="text1"/>
          <w:sz w:val="21"/>
          <w:szCs w:val="21"/>
        </w:rPr>
        <w:t>; postumi comparvero i suoi commenti incompiuti alla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29" w:tooltip="Fisica (Aristotele)" w:history="1">
        <w:r w:rsidRPr="00066EBA">
          <w:rPr>
            <w:rStyle w:val="Collegamentoipertestuale"/>
            <w:rFonts w:ascii="Arial" w:hAnsi="Arial" w:cs="Arial"/>
            <w:i/>
            <w:iCs/>
            <w:color w:val="000000" w:themeColor="text1"/>
            <w:sz w:val="21"/>
            <w:szCs w:val="21"/>
            <w:u w:val="none"/>
          </w:rPr>
          <w:t>Fisica</w:t>
        </w:r>
      </w:hyperlink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066EBA">
        <w:rPr>
          <w:rFonts w:ascii="Arial" w:hAnsi="Arial" w:cs="Arial"/>
          <w:color w:val="000000" w:themeColor="text1"/>
          <w:sz w:val="21"/>
          <w:szCs w:val="21"/>
        </w:rPr>
        <w:t>e al</w:t>
      </w:r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30" w:tooltip="De anima" w:history="1">
        <w:r w:rsidRPr="00066EBA">
          <w:rPr>
            <w:rStyle w:val="Collegamentoipertestuale"/>
            <w:rFonts w:ascii="Arial" w:hAnsi="Arial" w:cs="Arial"/>
            <w:i/>
            <w:iCs/>
            <w:color w:val="000000" w:themeColor="text1"/>
            <w:sz w:val="21"/>
            <w:szCs w:val="21"/>
            <w:u w:val="none"/>
          </w:rPr>
          <w:t>De anima</w:t>
        </w:r>
      </w:hyperlink>
      <w:r w:rsidRPr="00066EBA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066EBA">
        <w:rPr>
          <w:rFonts w:ascii="Arial" w:hAnsi="Arial" w:cs="Arial"/>
          <w:color w:val="000000" w:themeColor="text1"/>
          <w:sz w:val="21"/>
          <w:szCs w:val="21"/>
        </w:rPr>
        <w:t>di Aristotele.</w:t>
      </w:r>
    </w:p>
    <w:p w:rsidR="00066EBA" w:rsidRDefault="00066EBA" w:rsidP="00066EBA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066EBA" w:rsidRPr="00066EBA" w:rsidRDefault="00066EBA" w:rsidP="00066EBA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066EBA" w:rsidRPr="00066EBA" w:rsidRDefault="00066EBA" w:rsidP="00066EBA">
      <w:pPr>
        <w:jc w:val="center"/>
        <w:rPr>
          <w:color w:val="000000" w:themeColor="text1"/>
          <w:sz w:val="36"/>
          <w:szCs w:val="36"/>
          <w:u w:val="single"/>
        </w:rPr>
      </w:pPr>
      <w:r>
        <w:rPr>
          <w:noProof/>
          <w:color w:val="000000" w:themeColor="text1"/>
          <w:sz w:val="36"/>
          <w:szCs w:val="36"/>
          <w:u w:val="single"/>
          <w:lang w:eastAsia="it-IT"/>
        </w:rPr>
        <w:drawing>
          <wp:inline distT="0" distB="0" distL="0" distR="0">
            <wp:extent cx="2038350" cy="3502185"/>
            <wp:effectExtent l="19050" t="0" r="0" b="0"/>
            <wp:docPr id="1" name="Immagine 0" descr="Jacopo_Zabar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opo_Zabarella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350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EBA" w:rsidRPr="00066EBA" w:rsidSect="00B656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6EBA"/>
    <w:rsid w:val="00066EBA"/>
    <w:rsid w:val="00B6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56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66EBA"/>
  </w:style>
  <w:style w:type="character" w:styleId="Collegamentoipertestuale">
    <w:name w:val="Hyperlink"/>
    <w:basedOn w:val="Carpredefinitoparagrafo"/>
    <w:uiPriority w:val="99"/>
    <w:semiHidden/>
    <w:unhideWhenUsed/>
    <w:rsid w:val="00066EB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6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15_ottobre" TargetMode="External"/><Relationship Id="rId13" Type="http://schemas.openxmlformats.org/officeDocument/2006/relationships/hyperlink" Target="http://it.wikipedia.org/wiki/Bernardino_Tomitano" TargetMode="External"/><Relationship Id="rId18" Type="http://schemas.openxmlformats.org/officeDocument/2006/relationships/hyperlink" Target="http://it.wikipedia.org/wiki/Stefano_B%C3%A1thory" TargetMode="External"/><Relationship Id="rId26" Type="http://schemas.openxmlformats.org/officeDocument/2006/relationships/hyperlink" Target="http://it.wikipedia.org/wiki/15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t.wikipedia.org/wiki/1578" TargetMode="External"/><Relationship Id="rId7" Type="http://schemas.openxmlformats.org/officeDocument/2006/relationships/hyperlink" Target="http://it.wikipedia.org/wiki/Padova" TargetMode="External"/><Relationship Id="rId12" Type="http://schemas.openxmlformats.org/officeDocument/2006/relationships/hyperlink" Target="http://it.wikipedia.org/wiki/Universit%C3%A0_di_Padova" TargetMode="External"/><Relationship Id="rId17" Type="http://schemas.openxmlformats.org/officeDocument/2006/relationships/hyperlink" Target="http://it.wikipedia.org/wiki/Filosofia_naturale" TargetMode="External"/><Relationship Id="rId25" Type="http://schemas.openxmlformats.org/officeDocument/2006/relationships/hyperlink" Target="http://it.wikipedia.org/w/index.php?title=Bernardino_Petrella&amp;action=edit&amp;redlink=1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t.wikipedia.org/wiki/Logica" TargetMode="External"/><Relationship Id="rId20" Type="http://schemas.openxmlformats.org/officeDocument/2006/relationships/hyperlink" Target="http://it.wikipedia.org/wiki/Venezia" TargetMode="External"/><Relationship Id="rId29" Type="http://schemas.openxmlformats.org/officeDocument/2006/relationships/hyperlink" Target="http://it.wikipedia.org/wiki/Fisica_(Aristotele)" TargetMode="External"/><Relationship Id="rId1" Type="http://schemas.openxmlformats.org/officeDocument/2006/relationships/styles" Target="styles.xml"/><Relationship Id="rId6" Type="http://schemas.openxmlformats.org/officeDocument/2006/relationships/hyperlink" Target="http://it.wikipedia.org/wiki/1533" TargetMode="External"/><Relationship Id="rId11" Type="http://schemas.openxmlformats.org/officeDocument/2006/relationships/hyperlink" Target="http://it.wikipedia.org/wiki/Italia" TargetMode="External"/><Relationship Id="rId24" Type="http://schemas.openxmlformats.org/officeDocument/2006/relationships/hyperlink" Target="http://it.wikipedia.org/wiki/Aristotel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t.wikipedia.org/wiki/5_settembre" TargetMode="External"/><Relationship Id="rId15" Type="http://schemas.openxmlformats.org/officeDocument/2006/relationships/hyperlink" Target="http://it.wikipedia.org/wiki/1553" TargetMode="External"/><Relationship Id="rId23" Type="http://schemas.openxmlformats.org/officeDocument/2006/relationships/hyperlink" Target="http://it.wikipedia.org/wiki/1582" TargetMode="External"/><Relationship Id="rId28" Type="http://schemas.openxmlformats.org/officeDocument/2006/relationships/hyperlink" Target="http://it.wikipedia.org/wiki/1590" TargetMode="External"/><Relationship Id="rId10" Type="http://schemas.openxmlformats.org/officeDocument/2006/relationships/hyperlink" Target="http://it.wikipedia.org/wiki/Filosofo" TargetMode="External"/><Relationship Id="rId19" Type="http://schemas.openxmlformats.org/officeDocument/2006/relationships/hyperlink" Target="http://it.wikipedia.org/wiki/Polonia" TargetMode="External"/><Relationship Id="rId31" Type="http://schemas.openxmlformats.org/officeDocument/2006/relationships/image" Target="media/image1.jpeg"/><Relationship Id="rId4" Type="http://schemas.openxmlformats.org/officeDocument/2006/relationships/hyperlink" Target="http://it.wikipedia.org/wiki/Padova" TargetMode="External"/><Relationship Id="rId9" Type="http://schemas.openxmlformats.org/officeDocument/2006/relationships/hyperlink" Target="http://it.wikipedia.org/wiki/1589" TargetMode="External"/><Relationship Id="rId14" Type="http://schemas.openxmlformats.org/officeDocument/2006/relationships/hyperlink" Target="http://it.wikipedia.org/wiki/Marcantonio_de%E2%80%99_Passeri" TargetMode="External"/><Relationship Id="rId22" Type="http://schemas.openxmlformats.org/officeDocument/2006/relationships/hyperlink" Target="http://it.wikipedia.org/wiki/1580" TargetMode="External"/><Relationship Id="rId27" Type="http://schemas.openxmlformats.org/officeDocument/2006/relationships/hyperlink" Target="http://it.wikipedia.org/wiki/1586" TargetMode="External"/><Relationship Id="rId30" Type="http://schemas.openxmlformats.org/officeDocument/2006/relationships/hyperlink" Target="http://it.wikipedia.org/wiki/De_ani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2014-09-23T20:07:00Z</dcterms:created>
  <dcterms:modified xsi:type="dcterms:W3CDTF">2014-09-23T20:13:00Z</dcterms:modified>
</cp:coreProperties>
</file>